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«Математическое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Дифференциальные уравнения</w:t>
            </w:r>
          </w:p>
          <w:p>
            <w:pPr>
              <w:jc w:val="center"/>
              <w:spacing w:after="0" w:line="240" w:lineRule="auto"/>
              <w:rPr>
                <w:sz w:val="32"/>
                <w:szCs w:val="32"/>
              </w:rPr>
            </w:pPr>
            <w:r>
              <w:rPr>
                <w:rFonts w:ascii="Times New Roman" w:hAnsi="Times New Roman" w:cs="Times New Roman"/>
                <w:color w:val="#000000"/>
                <w:sz w:val="32"/>
                <w:szCs w:val="32"/>
              </w:rPr>
              <w:t> К.М.06.07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«Математическое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/РомановаТатьяна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«Математическое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«Дифференциальные уравнения»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К.М.06.07 «Дифференциальные уравнения».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«Дифференциальные уравнения»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основы духовно-нравственного воспитания обучающихся</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уметь  формировать у обучающих гражданскую позицию, толерантность и навык поведения в изменяющейся поликультурной среде, способность к труду и жизни в условиях  современного мира, культуры здорового  и безопасного образа жизни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владеть методами развития духовно-нравственных ценностей личности и модели нравственного поведения в профессиональной деятельности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 поставленных задач</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К.М.06.07 «Дифференциальные уравнения» относится к обязательной части, является дисциплиной Блока Б1. «Дисциплины (модули)». Предметно-содержательный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Алгебра</w:t>
            </w:r>
          </w:p>
          <w:p>
            <w:pPr>
              <w:jc w:val="center"/>
              <w:spacing w:after="0" w:line="240" w:lineRule="auto"/>
              <w:rPr>
                <w:sz w:val="22"/>
                <w:szCs w:val="22"/>
              </w:rPr>
            </w:pPr>
            <w:r>
              <w:rPr>
                <w:rFonts w:ascii="Times New Roman" w:hAnsi="Times New Roman" w:cs="Times New Roman"/>
                <w:color w:val="#000000"/>
                <w:sz w:val="22"/>
                <w:szCs w:val="22"/>
              </w:rPr>
              <w:t> Геометрия</w:t>
            </w:r>
          </w:p>
          <w:p>
            <w:pPr>
              <w:jc w:val="center"/>
              <w:spacing w:after="0" w:line="240" w:lineRule="auto"/>
              <w:rPr>
                <w:sz w:val="22"/>
                <w:szCs w:val="22"/>
              </w:rPr>
            </w:pPr>
            <w:r>
              <w:rPr>
                <w:rFonts w:ascii="Times New Roman" w:hAnsi="Times New Roman" w:cs="Times New Roman"/>
                <w:color w:val="#000000"/>
                <w:sz w:val="22"/>
                <w:szCs w:val="22"/>
              </w:rPr>
              <w:t> Аналитическая геометрия</w:t>
            </w:r>
          </w:p>
          <w:p>
            <w:pPr>
              <w:jc w:val="center"/>
              <w:spacing w:after="0" w:line="240" w:lineRule="auto"/>
              <w:rPr>
                <w:sz w:val="22"/>
                <w:szCs w:val="22"/>
              </w:rPr>
            </w:pPr>
            <w:r>
              <w:rPr>
                <w:rFonts w:ascii="Times New Roman" w:hAnsi="Times New Roman" w:cs="Times New Roman"/>
                <w:color w:val="#000000"/>
                <w:sz w:val="22"/>
                <w:szCs w:val="22"/>
              </w:rPr>
              <w:t> История математики</w:t>
            </w:r>
          </w:p>
          <w:p>
            <w:pPr>
              <w:jc w:val="center"/>
              <w:spacing w:after="0" w:line="240" w:lineRule="auto"/>
              <w:rPr>
                <w:sz w:val="22"/>
                <w:szCs w:val="22"/>
              </w:rPr>
            </w:pPr>
            <w:r>
              <w:rPr>
                <w:rFonts w:ascii="Times New Roman" w:hAnsi="Times New Roman" w:cs="Times New Roman"/>
                <w:color w:val="#000000"/>
                <w:sz w:val="22"/>
                <w:szCs w:val="22"/>
              </w:rPr>
              <w:t> Элементарная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Алгебра</w:t>
            </w:r>
          </w:p>
          <w:p>
            <w:pPr>
              <w:jc w:val="center"/>
              <w:spacing w:after="0" w:line="240" w:lineRule="auto"/>
              <w:rPr>
                <w:sz w:val="22"/>
                <w:szCs w:val="22"/>
              </w:rPr>
            </w:pPr>
            <w:r>
              <w:rPr>
                <w:rFonts w:ascii="Times New Roman" w:hAnsi="Times New Roman" w:cs="Times New Roman"/>
                <w:color w:val="#000000"/>
                <w:sz w:val="22"/>
                <w:szCs w:val="22"/>
              </w:rPr>
              <w:t> Геометрия</w:t>
            </w:r>
          </w:p>
          <w:p>
            <w:pPr>
              <w:jc w:val="center"/>
              <w:spacing w:after="0" w:line="240" w:lineRule="auto"/>
              <w:rPr>
                <w:sz w:val="22"/>
                <w:szCs w:val="22"/>
              </w:rPr>
            </w:pPr>
            <w:r>
              <w:rPr>
                <w:rFonts w:ascii="Times New Roman" w:hAnsi="Times New Roman" w:cs="Times New Roman"/>
                <w:color w:val="#000000"/>
                <w:sz w:val="22"/>
                <w:szCs w:val="22"/>
              </w:rPr>
              <w:t> Дифференциальные уравнения</w:t>
            </w:r>
          </w:p>
          <w:p>
            <w:pPr>
              <w:jc w:val="center"/>
              <w:spacing w:after="0" w:line="240" w:lineRule="auto"/>
              <w:rPr>
                <w:sz w:val="22"/>
                <w:szCs w:val="22"/>
              </w:rPr>
            </w:pPr>
            <w:r>
              <w:rPr>
                <w:rFonts w:ascii="Times New Roman" w:hAnsi="Times New Roman" w:cs="Times New Roman"/>
                <w:color w:val="#000000"/>
                <w:sz w:val="22"/>
                <w:szCs w:val="22"/>
              </w:rPr>
              <w:t> Математическая логика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ОПК-4, УК-2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Обыкновенные дифференциальные уравнения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Линейные дифференциальные уравнения второго порядка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Линейные дифференциальные уравнения второго порядка с постоянными коэффициентами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Линейные дифференциальные уравнения n-го порядка.  Системы</w:t>
            </w:r>
          </w:p>
          <w:p>
            <w:pPr>
              <w:jc w:val="left"/>
              <w:spacing w:after="0" w:line="240" w:lineRule="auto"/>
              <w:rPr>
                <w:sz w:val="24"/>
                <w:szCs w:val="24"/>
              </w:rPr>
            </w:pPr>
            <w:r>
              <w:rPr>
                <w:rFonts w:ascii="Times New Roman" w:hAnsi="Times New Roman" w:cs="Times New Roman"/>
                <w:color w:val="#000000"/>
                <w:sz w:val="24"/>
                <w:szCs w:val="24"/>
              </w:rPr>
              <w:t> дифференциальных уравнений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Обыкновенные дифференциальные уравнения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Линейные дифференциальные уравнения второго порядка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Линейные дифференциальные уравнения второго порядка с постоянными коэффициентами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Линейные дифференциальные уравнения n-го порядка.  Системы</w:t>
            </w:r>
          </w:p>
          <w:p>
            <w:pPr>
              <w:jc w:val="left"/>
              <w:spacing w:after="0" w:line="240" w:lineRule="auto"/>
              <w:rPr>
                <w:sz w:val="24"/>
                <w:szCs w:val="24"/>
              </w:rPr>
            </w:pPr>
            <w:r>
              <w:rPr>
                <w:rFonts w:ascii="Times New Roman" w:hAnsi="Times New Roman" w:cs="Times New Roman"/>
                <w:color w:val="#000000"/>
                <w:sz w:val="24"/>
                <w:szCs w:val="24"/>
              </w:rPr>
              <w:t> дифференциальных уравнений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Обыкновенные дифференциальные уравнения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Линейные дифференциальные уравнения второго порядка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Линейные дифференциальные уравнения второго порядка с постоянными коэффициентами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Линейные дифференциальные уравнения n-го порядка.  Системы</w:t>
            </w:r>
          </w:p>
          <w:p>
            <w:pPr>
              <w:jc w:val="left"/>
              <w:spacing w:after="0" w:line="240" w:lineRule="auto"/>
              <w:rPr>
                <w:sz w:val="24"/>
                <w:szCs w:val="24"/>
              </w:rPr>
            </w:pPr>
            <w:r>
              <w:rPr>
                <w:rFonts w:ascii="Times New Roman" w:hAnsi="Times New Roman" w:cs="Times New Roman"/>
                <w:color w:val="#000000"/>
                <w:sz w:val="24"/>
                <w:szCs w:val="24"/>
              </w:rPr>
              <w:t> дифференциальных уравнений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988.75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Обыкновенные дифференциальные уравнения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Линейные дифференциальные уравнения второго порядка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Линейные дифференциальные уравнения второго порядка с постоянными коэффициентами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Линейные дифференциальные уравнения n-го порядка.  Системы</w:t>
            </w:r>
          </w:p>
          <w:p>
            <w:pPr>
              <w:jc w:val="center"/>
              <w:spacing w:after="0" w:line="240" w:lineRule="auto"/>
              <w:rPr>
                <w:sz w:val="24"/>
                <w:szCs w:val="24"/>
              </w:rPr>
            </w:pPr>
            <w:r>
              <w:rPr>
                <w:rFonts w:ascii="Times New Roman" w:hAnsi="Times New Roman" w:cs="Times New Roman"/>
                <w:b/>
                <w:color w:val="#000000"/>
                <w:sz w:val="24"/>
                <w:szCs w:val="24"/>
              </w:rPr>
              <w:t> дифференциальных уравнений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Обыкновенные дифференциальные уравнения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Линейные дифференциальные уравнения второго порядка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Линейные дифференциальные уравнения второго порядка с постоянными коэффициентами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Линейные дифференциальные уравнения n-го порядка.  Системы</w:t>
            </w:r>
          </w:p>
          <w:p>
            <w:pPr>
              <w:jc w:val="center"/>
              <w:spacing w:after="0" w:line="240" w:lineRule="auto"/>
              <w:rPr>
                <w:sz w:val="24"/>
                <w:szCs w:val="24"/>
              </w:rPr>
            </w:pPr>
            <w:r>
              <w:rPr>
                <w:rFonts w:ascii="Times New Roman" w:hAnsi="Times New Roman" w:cs="Times New Roman"/>
                <w:b/>
                <w:color w:val="#000000"/>
                <w:sz w:val="24"/>
                <w:szCs w:val="24"/>
              </w:rPr>
              <w:t> дифференциальных уравнений</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«Дифференциальные уравнения» / РомановаТатьяна Николаевна.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Дифференциальные</w:t>
            </w:r>
            <w:r>
              <w:rPr/>
              <w:t xml:space="preserve"> </w:t>
            </w:r>
            <w:r>
              <w:rPr>
                <w:rFonts w:ascii="Times New Roman" w:hAnsi="Times New Roman" w:cs="Times New Roman"/>
                <w:color w:val="#000000"/>
                <w:sz w:val="24"/>
                <w:szCs w:val="24"/>
              </w:rPr>
              <w:t>уравнения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Боровских</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978-5-534-01777-9.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https://urait.ru/bcode/490346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Дифференциальные</w:t>
            </w:r>
            <w:r>
              <w:rPr/>
              <w:t xml:space="preserve"> </w:t>
            </w:r>
            <w:r>
              <w:rPr>
                <w:rFonts w:ascii="Times New Roman" w:hAnsi="Times New Roman" w:cs="Times New Roman"/>
                <w:color w:val="#000000"/>
                <w:sz w:val="24"/>
                <w:szCs w:val="24"/>
              </w:rPr>
              <w:t>уравнения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Боровских</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978-5-534-02097-7.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https://urait.ru/bcode/490959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Дифференциальные</w:t>
            </w:r>
            <w:r>
              <w:rPr/>
              <w:t xml:space="preserve"> </w:t>
            </w:r>
            <w:r>
              <w:rPr>
                <w:rFonts w:ascii="Times New Roman" w:hAnsi="Times New Roman" w:cs="Times New Roman"/>
                <w:color w:val="#000000"/>
                <w:sz w:val="24"/>
                <w:szCs w:val="24"/>
              </w:rPr>
              <w:t>уравнения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978-5-534-01456-3.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https://urait.ru/bcode/489021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Дифференциальные</w:t>
            </w:r>
            <w:r>
              <w:rPr/>
              <w:t xml:space="preserve"> </w:t>
            </w:r>
            <w:r>
              <w:rPr>
                <w:rFonts w:ascii="Times New Roman" w:hAnsi="Times New Roman" w:cs="Times New Roman"/>
                <w:color w:val="#000000"/>
                <w:sz w:val="24"/>
                <w:szCs w:val="24"/>
              </w:rPr>
              <w:t>уравнения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978-5-534-01456-3.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https://urait.ru/bcode/468795</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Дифференциальные</w:t>
            </w:r>
            <w:r>
              <w:rPr/>
              <w:t xml:space="preserve"> </w:t>
            </w:r>
            <w:r>
              <w:rPr>
                <w:rFonts w:ascii="Times New Roman" w:hAnsi="Times New Roman" w:cs="Times New Roman"/>
                <w:color w:val="#000000"/>
                <w:sz w:val="24"/>
                <w:szCs w:val="24"/>
              </w:rPr>
              <w:t>уравнения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Боровских</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978-5-534-01777-9.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https://urait.ru/bcode/470198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Дифференциальные</w:t>
            </w:r>
            <w:r>
              <w:rPr/>
              <w:t xml:space="preserve"> </w:t>
            </w:r>
            <w:r>
              <w:rPr>
                <w:rFonts w:ascii="Times New Roman" w:hAnsi="Times New Roman" w:cs="Times New Roman"/>
                <w:color w:val="#000000"/>
                <w:sz w:val="24"/>
                <w:szCs w:val="24"/>
              </w:rPr>
              <w:t>уравнения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Аксенов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978-5-9916-7420-1.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https://urait.ru/bcode/490792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82.64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2024-2025_ФГОС3++2024_Бак-ЗФО-ПО(МО)(24)_plx_Дифференциальные уравнения</dc:title>
  <dc:creator>FastReport.NET</dc:creator>
</cp:coreProperties>
</file>